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83"/>
        <w:tblW w:w="0" w:type="auto"/>
        <w:tblLook w:val="0600" w:firstRow="0" w:lastRow="0" w:firstColumn="0" w:lastColumn="0" w:noHBand="1" w:noVBand="1"/>
      </w:tblPr>
      <w:tblGrid>
        <w:gridCol w:w="4500"/>
        <w:gridCol w:w="2595"/>
        <w:gridCol w:w="2192"/>
      </w:tblGrid>
      <w:tr w:rsidR="00965068">
        <w:tc>
          <w:tcPr>
            <w:tcW w:w="4500" w:type="dxa"/>
            <w:vAlign w:val="bottom"/>
          </w:tcPr>
          <w:p w:rsidR="00965068" w:rsidRPr="00F46B16" w:rsidRDefault="00077990" w:rsidP="00EB4E78">
            <w:pPr>
              <w:pStyle w:val="Sidhuvud"/>
              <w:rPr>
                <w:rStyle w:val="Frvaltning"/>
              </w:rPr>
            </w:pPr>
            <w:bookmarkStart w:id="0" w:name="_GoBack"/>
            <w:bookmarkEnd w:id="0"/>
            <w:r>
              <w:rPr>
                <w:rStyle w:val="Frvaltning"/>
              </w:rPr>
              <w:t xml:space="preserve">Kommunledningsförvaltningen </w:t>
            </w:r>
          </w:p>
        </w:tc>
        <w:tc>
          <w:tcPr>
            <w:tcW w:w="2595" w:type="dxa"/>
            <w:vAlign w:val="bottom"/>
          </w:tcPr>
          <w:p w:rsidR="00965068" w:rsidRPr="00F46B16" w:rsidRDefault="00965068" w:rsidP="00EB4E78">
            <w:pPr>
              <w:pStyle w:val="Sidhuvud"/>
              <w:rPr>
                <w:rStyle w:val="Standard9"/>
              </w:rPr>
            </w:pPr>
            <w:r w:rsidRPr="00F46B16">
              <w:rPr>
                <w:rStyle w:val="Standard9"/>
              </w:rPr>
              <w:t>Datum</w:t>
            </w:r>
          </w:p>
        </w:tc>
        <w:tc>
          <w:tcPr>
            <w:tcW w:w="2192" w:type="dxa"/>
            <w:vAlign w:val="bottom"/>
          </w:tcPr>
          <w:p w:rsidR="00965068" w:rsidRPr="00F46B16" w:rsidRDefault="00965068" w:rsidP="00EB4E78">
            <w:pPr>
              <w:pStyle w:val="Sidhuvud"/>
              <w:rPr>
                <w:rStyle w:val="Standard9"/>
              </w:rPr>
            </w:pPr>
            <w:r w:rsidRPr="00F46B16">
              <w:rPr>
                <w:rStyle w:val="Standard9"/>
              </w:rPr>
              <w:t>Diarienummer</w:t>
            </w:r>
          </w:p>
        </w:tc>
      </w:tr>
      <w:tr w:rsidR="007F0101">
        <w:trPr>
          <w:trHeight w:val="420"/>
        </w:trPr>
        <w:tc>
          <w:tcPr>
            <w:tcW w:w="4500" w:type="dxa"/>
          </w:tcPr>
          <w:p w:rsidR="007F0101" w:rsidRPr="0019764F" w:rsidRDefault="007F0101" w:rsidP="00EB4E78">
            <w:pPr>
              <w:pStyle w:val="Sidhuvud"/>
              <w:rPr>
                <w:rStyle w:val="Platshllartext"/>
                <w:color w:val="000000"/>
              </w:rPr>
            </w:pPr>
          </w:p>
          <w:p w:rsidR="007F0101" w:rsidRPr="0019764F" w:rsidRDefault="007F0101" w:rsidP="00EB4E78">
            <w:pPr>
              <w:pStyle w:val="Sidhuvud"/>
            </w:pPr>
          </w:p>
        </w:tc>
        <w:tc>
          <w:tcPr>
            <w:tcW w:w="2595" w:type="dxa"/>
          </w:tcPr>
          <w:p w:rsidR="007F0101" w:rsidRPr="0019764F" w:rsidRDefault="00077990" w:rsidP="00EB4E78">
            <w:pPr>
              <w:pStyle w:val="Sidhuvud"/>
            </w:pPr>
            <w:r>
              <w:rPr>
                <w:rStyle w:val="Platshllartext"/>
                <w:color w:val="000000"/>
              </w:rPr>
              <w:t>2012-04-04</w:t>
            </w:r>
          </w:p>
        </w:tc>
        <w:tc>
          <w:tcPr>
            <w:tcW w:w="2192" w:type="dxa"/>
          </w:tcPr>
          <w:p w:rsidR="007F0101" w:rsidRPr="000A3C9C" w:rsidRDefault="007F0101" w:rsidP="00EB4E78">
            <w:pPr>
              <w:pStyle w:val="Sidhuvud"/>
            </w:pPr>
          </w:p>
        </w:tc>
      </w:tr>
    </w:tbl>
    <w:p w:rsidR="00965068" w:rsidRDefault="003E612A" w:rsidP="00EB4E78">
      <w:pPr>
        <w:pStyle w:val="Dokumentrubrik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s1026" type="#_x0000_t75" alt="HapTor_logo_rgb_utan_text" style="position:absolute;margin-left:9pt;margin-top:-18pt;width:128.25pt;height:40.5pt;z-index:251657728;visibility:visible;mso-position-horizontal-relative:text;mso-position-vertical-relative:text">
            <v:imagedata r:id="rId7" o:title="HapTor_logo_rgb_utan_text"/>
          </v:shape>
        </w:pict>
      </w:r>
      <w:r w:rsidR="00EB4E78">
        <w:tab/>
      </w:r>
      <w:r w:rsidR="00077990">
        <w:t>SEKRETESS BUN</w:t>
      </w:r>
    </w:p>
    <w:p w:rsidR="0034628A" w:rsidRDefault="000A7362" w:rsidP="0034628A">
      <w:r>
        <w:tab/>
      </w:r>
    </w:p>
    <w:p w:rsidR="0034628A" w:rsidRDefault="0034628A" w:rsidP="0034628A"/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</w:rPr>
        <w:t>LAGTEXT: OFFENTLIGHETS- OCH SEKRETESSLAGEN (2009:400)</w:t>
      </w:r>
    </w:p>
    <w:p w:rsid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</w:rPr>
        <w:t>AVSNITT: 23 KAP. SEKRETESS MED HÄNSYN FRÄMST TILL SKYDDET FÖR ENSKILDAS PERSONLIGA FÖRHÅLLANDEN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  <w:r w:rsidRPr="00077990">
        <w:rPr>
          <w:rFonts w:cs="Arial"/>
          <w:b/>
          <w:bCs/>
        </w:rPr>
        <w:t>23 kap. Sekretess till skydd för enskild i utbildningsverksamhet, m.m.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  <w:r w:rsidRPr="00077990">
        <w:rPr>
          <w:rFonts w:cs="Arial"/>
          <w:b/>
          <w:bCs/>
        </w:rPr>
        <w:t>Förskoleverksamhet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  <w:b/>
          <w:bCs/>
        </w:rPr>
        <w:t xml:space="preserve">1 § </w:t>
      </w:r>
      <w:r w:rsidRPr="00077990">
        <w:rPr>
          <w:rFonts w:cs="Arial"/>
        </w:rPr>
        <w:t>Sekretess gäller i förskoleverksamhet för uppgift om en enskilds personliga förhållanden, om det inte står klart att</w:t>
      </w:r>
      <w:r>
        <w:rPr>
          <w:rFonts w:cs="Arial"/>
        </w:rPr>
        <w:t xml:space="preserve"> </w:t>
      </w:r>
      <w:r w:rsidRPr="00077990">
        <w:rPr>
          <w:rFonts w:cs="Arial"/>
        </w:rPr>
        <w:t>uppgiften kan röjas utan att den enskilde eller någon närstående till denne lider men. För uppgift i en allmän</w:t>
      </w:r>
      <w:r>
        <w:rPr>
          <w:rFonts w:cs="Arial"/>
        </w:rPr>
        <w:t xml:space="preserve"> </w:t>
      </w:r>
      <w:r w:rsidRPr="00077990">
        <w:rPr>
          <w:rFonts w:cs="Arial"/>
        </w:rPr>
        <w:t>handling gäller sekretessen i högst sjuttio år.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  <w:r w:rsidRPr="00077990">
        <w:rPr>
          <w:rFonts w:cs="Arial"/>
          <w:b/>
          <w:bCs/>
        </w:rPr>
        <w:t>Utbildningsverksamhet för barn och ungdomar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  <w:b/>
          <w:bCs/>
        </w:rPr>
        <w:t xml:space="preserve">2 § </w:t>
      </w:r>
      <w:r w:rsidRPr="00077990">
        <w:rPr>
          <w:rFonts w:cs="Arial"/>
        </w:rPr>
        <w:t>Sekretess gäller i förskoleklassen, grundskolan, gymnasieskolan, särskolan, specialskolan och sameskolan samt i en</w:t>
      </w:r>
      <w:r>
        <w:rPr>
          <w:rFonts w:cs="Arial"/>
        </w:rPr>
        <w:t xml:space="preserve"> </w:t>
      </w:r>
      <w:r w:rsidRPr="00077990">
        <w:rPr>
          <w:rFonts w:cs="Arial"/>
        </w:rPr>
        <w:t>kommunal riksinternatskola för uppgift som hänför sig till psykologisk undersökning eller behandling och för uppgift</w:t>
      </w:r>
      <w:r>
        <w:rPr>
          <w:rFonts w:cs="Arial"/>
        </w:rPr>
        <w:t xml:space="preserve"> </w:t>
      </w:r>
      <w:r w:rsidRPr="00077990">
        <w:rPr>
          <w:rFonts w:cs="Arial"/>
        </w:rPr>
        <w:t>om en enskilds personliga förhållanden hos psykolog eller kurator, om det inte står klart att uppgiften kan röjas utan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</w:rPr>
        <w:t>att den enskilde eller någon närstående till denne lider men.</w:t>
      </w:r>
      <w:r>
        <w:rPr>
          <w:rFonts w:cs="Arial"/>
        </w:rPr>
        <w:t xml:space="preserve"> </w:t>
      </w:r>
      <w:r w:rsidRPr="00077990">
        <w:rPr>
          <w:rFonts w:cs="Arial"/>
        </w:rPr>
        <w:t>Sekretess gäller på det område som anges i första stycket dels i skolans elevvårdande verksamhet i övrigt för uppgift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</w:rPr>
        <w:t>om en enskilds personliga förhållanden, dels för uppgift som hänför sig till ärende om tillrättaförande av en elev eller</w:t>
      </w:r>
      <w:r>
        <w:rPr>
          <w:rFonts w:cs="Arial"/>
        </w:rPr>
        <w:t xml:space="preserve"> </w:t>
      </w:r>
      <w:r w:rsidRPr="00077990">
        <w:rPr>
          <w:rFonts w:cs="Arial"/>
        </w:rPr>
        <w:t>om skiljande av en elev från vidare studier. Sekretessen gäller dock endast om det kan antas att den enskilde eller</w:t>
      </w:r>
      <w:r>
        <w:rPr>
          <w:rFonts w:cs="Arial"/>
        </w:rPr>
        <w:t xml:space="preserve"> </w:t>
      </w:r>
      <w:r w:rsidRPr="00077990">
        <w:rPr>
          <w:rFonts w:cs="Arial"/>
        </w:rPr>
        <w:t>någon närstående till denne lider men om uppgiften röjs. Sekretessen gäller inte beslut i ärende.</w:t>
      </w:r>
      <w:r>
        <w:rPr>
          <w:rFonts w:cs="Arial"/>
        </w:rPr>
        <w:t xml:space="preserve"> </w:t>
      </w:r>
      <w:r w:rsidRPr="00077990">
        <w:rPr>
          <w:rFonts w:cs="Arial"/>
        </w:rPr>
        <w:t>Sekretess gäller på det område som anges i första stycket i andra fall än som avses i första och andra styckena för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</w:rPr>
        <w:t>uppgift om en enskilds identitet, adress och andra liknande uppgifter om en enskilds personliga förhållanden, om det</w:t>
      </w:r>
      <w:r>
        <w:rPr>
          <w:rFonts w:cs="Arial"/>
        </w:rPr>
        <w:t xml:space="preserve"> </w:t>
      </w:r>
      <w:r w:rsidRPr="00077990">
        <w:rPr>
          <w:rFonts w:cs="Arial"/>
        </w:rPr>
        <w:t>av särskild anledning kan antas att den enskilde eller någon närstående till denne lider men om uppgiften röjs. För</w:t>
      </w:r>
      <w:r>
        <w:rPr>
          <w:rFonts w:cs="Arial"/>
        </w:rPr>
        <w:t xml:space="preserve"> </w:t>
      </w:r>
      <w:r w:rsidRPr="00077990">
        <w:rPr>
          <w:rFonts w:cs="Arial"/>
        </w:rPr>
        <w:t>uppgift i en allmän handling gäller sekretessen i högst sjuttio år.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  <w:r w:rsidRPr="00077990">
        <w:rPr>
          <w:rFonts w:cs="Arial"/>
          <w:b/>
          <w:bCs/>
        </w:rPr>
        <w:t>Annan utbildningsverksamhet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  <w:b/>
          <w:bCs/>
        </w:rPr>
        <w:t xml:space="preserve">3 § </w:t>
      </w:r>
      <w:r w:rsidRPr="00077990">
        <w:rPr>
          <w:rFonts w:cs="Arial"/>
        </w:rPr>
        <w:t>Sekretess gäller i annan utbildningsverksamhet än sådan som anges i 2 § för uppgift som hänför sig till psykologisk</w:t>
      </w:r>
      <w:r>
        <w:rPr>
          <w:rFonts w:cs="Arial"/>
        </w:rPr>
        <w:t xml:space="preserve"> </w:t>
      </w:r>
      <w:r w:rsidRPr="00077990">
        <w:rPr>
          <w:rFonts w:cs="Arial"/>
        </w:rPr>
        <w:t>undersökning eller behandling och för uppgift om en enskilds personliga förhållanden hos psykolog, kurator eller</w:t>
      </w:r>
      <w:r>
        <w:rPr>
          <w:rFonts w:cs="Arial"/>
        </w:rPr>
        <w:t xml:space="preserve"> </w:t>
      </w:r>
      <w:r w:rsidRPr="00077990">
        <w:rPr>
          <w:rFonts w:cs="Arial"/>
        </w:rPr>
        <w:t>studie- och yrkesvägledare, om det inte står klart att uppgiften kan röjas utan att den enskilde eller någon</w:t>
      </w:r>
      <w:r>
        <w:rPr>
          <w:rFonts w:cs="Arial"/>
        </w:rPr>
        <w:t xml:space="preserve"> </w:t>
      </w:r>
      <w:r w:rsidRPr="00077990">
        <w:rPr>
          <w:rFonts w:cs="Arial"/>
        </w:rPr>
        <w:t>närstående till denne lider men. Sekretess gäller i elevvårdande verksamhet i övrigt inom</w:t>
      </w:r>
      <w:r>
        <w:rPr>
          <w:rFonts w:cs="Arial"/>
        </w:rPr>
        <w:t xml:space="preserve"> </w:t>
      </w:r>
      <w:r w:rsidRPr="00077990">
        <w:rPr>
          <w:rFonts w:cs="Arial"/>
        </w:rPr>
        <w:t>arbetsmarknadsutbildningen, den kommunala vuxenutbildningen, vuxenutbildningen för utvecklingsstörda,</w:t>
      </w:r>
      <w:r>
        <w:rPr>
          <w:rFonts w:cs="Arial"/>
        </w:rPr>
        <w:t xml:space="preserve"> </w:t>
      </w:r>
      <w:r w:rsidRPr="00077990">
        <w:rPr>
          <w:rFonts w:cs="Arial"/>
        </w:rPr>
        <w:t>svenskundervisningen för invandrare (sfi) och folkhögskolan för uppgift om en enskilds personliga förhållanden, om</w:t>
      </w:r>
      <w:r>
        <w:rPr>
          <w:rFonts w:cs="Arial"/>
        </w:rPr>
        <w:t xml:space="preserve"> </w:t>
      </w:r>
      <w:r w:rsidRPr="00077990">
        <w:rPr>
          <w:rFonts w:cs="Arial"/>
        </w:rPr>
        <w:t>det kan antas att den enskilde eller någon närstående till denne lider men om uppgiften röjs.</w:t>
      </w:r>
      <w:r>
        <w:rPr>
          <w:rFonts w:cs="Arial"/>
        </w:rPr>
        <w:t xml:space="preserve"> </w:t>
      </w:r>
      <w:r w:rsidRPr="00077990">
        <w:rPr>
          <w:rFonts w:cs="Arial"/>
        </w:rPr>
        <w:t>Sekretess gäller i annan utbildningsverksamhet än sådan som anges i 2 § i annat fall än som avses första stycket och</w:t>
      </w:r>
      <w:r>
        <w:rPr>
          <w:rFonts w:cs="Arial"/>
        </w:rPr>
        <w:t xml:space="preserve"> </w:t>
      </w:r>
      <w:r w:rsidRPr="00077990">
        <w:rPr>
          <w:rFonts w:cs="Arial"/>
        </w:rPr>
        <w:t>hos Verket för högskoleservice i verksamhet som avser biträde vid antagning av studenter för uppgift om en enskilds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</w:rPr>
        <w:t>identitet, adress och andra liknande uppgifter om en enskilds personliga förhållanden, om det av särskild anledning</w:t>
      </w:r>
      <w:r>
        <w:rPr>
          <w:rFonts w:cs="Arial"/>
        </w:rPr>
        <w:t xml:space="preserve"> </w:t>
      </w:r>
      <w:r w:rsidRPr="00077990">
        <w:rPr>
          <w:rFonts w:cs="Arial"/>
        </w:rPr>
        <w:t>kan antas att den enskilde eller någon närstående till denne lider men om uppgiften röjs. För uppgift i en allmän</w:t>
      </w:r>
      <w:r>
        <w:rPr>
          <w:rFonts w:cs="Arial"/>
        </w:rPr>
        <w:t xml:space="preserve"> </w:t>
      </w:r>
      <w:r w:rsidRPr="00077990">
        <w:rPr>
          <w:rFonts w:cs="Arial"/>
        </w:rPr>
        <w:t>handling gäller sekretessen i högst sjuttio år.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  <w:r w:rsidRPr="00077990">
        <w:rPr>
          <w:rFonts w:cs="Arial"/>
          <w:b/>
          <w:bCs/>
        </w:rPr>
        <w:t>Specialpedagogisk stödverksamhet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  <w:b/>
          <w:bCs/>
        </w:rPr>
        <w:t xml:space="preserve">4 § </w:t>
      </w:r>
      <w:r w:rsidRPr="00077990">
        <w:rPr>
          <w:rFonts w:cs="Arial"/>
        </w:rPr>
        <w:t>Sekretess gäller i specialpedagogisk stödverksamhet för uppgift om en enskilds personliga förhållanden, om det</w:t>
      </w:r>
      <w:r>
        <w:rPr>
          <w:rFonts w:cs="Arial"/>
        </w:rPr>
        <w:t xml:space="preserve"> </w:t>
      </w:r>
      <w:r w:rsidRPr="00077990">
        <w:rPr>
          <w:rFonts w:cs="Arial"/>
        </w:rPr>
        <w:t>kan antas att den enskilde eller någon närstående till denne lider men om uppgiften röjs. För uppgift i en allmän</w:t>
      </w:r>
      <w:r>
        <w:rPr>
          <w:rFonts w:cs="Arial"/>
        </w:rPr>
        <w:t xml:space="preserve"> </w:t>
      </w:r>
      <w:r w:rsidRPr="00077990">
        <w:rPr>
          <w:rFonts w:cs="Arial"/>
        </w:rPr>
        <w:t>handling gäller sekretessen i högst sjuttio år.</w:t>
      </w:r>
    </w:p>
    <w:p w:rsid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  <w:r w:rsidRPr="00077990">
        <w:rPr>
          <w:rFonts w:cs="Arial"/>
          <w:b/>
          <w:bCs/>
        </w:rPr>
        <w:lastRenderedPageBreak/>
        <w:t>Skolbarnsomsorg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  <w:b/>
          <w:bCs/>
        </w:rPr>
        <w:t xml:space="preserve">5 § </w:t>
      </w:r>
      <w:r w:rsidRPr="00077990">
        <w:rPr>
          <w:rFonts w:cs="Arial"/>
        </w:rPr>
        <w:t>Sekretess gäller i skolbarnsomsorgen för uppgift som hänför sig till psykologisk undersökning eller behandling och</w:t>
      </w:r>
      <w:r>
        <w:rPr>
          <w:rFonts w:cs="Arial"/>
        </w:rPr>
        <w:t xml:space="preserve"> </w:t>
      </w:r>
      <w:r w:rsidRPr="00077990">
        <w:rPr>
          <w:rFonts w:cs="Arial"/>
        </w:rPr>
        <w:t>för uppgift om en enskilds personliga förhållanden hos psykolog eller kurator, om det inte står klart att uppgiften kan</w:t>
      </w:r>
      <w:r>
        <w:rPr>
          <w:rFonts w:cs="Arial"/>
        </w:rPr>
        <w:t xml:space="preserve"> </w:t>
      </w:r>
      <w:r w:rsidRPr="00077990">
        <w:rPr>
          <w:rFonts w:cs="Arial"/>
        </w:rPr>
        <w:t>röjas utan att den enskilde eller någon närstående till denne lider men.</w:t>
      </w:r>
      <w:r>
        <w:rPr>
          <w:rFonts w:cs="Arial"/>
        </w:rPr>
        <w:t xml:space="preserve"> </w:t>
      </w:r>
      <w:r w:rsidRPr="00077990">
        <w:rPr>
          <w:rFonts w:cs="Arial"/>
        </w:rPr>
        <w:t>Sekretess gäller i samma verksamhet för annan uppgift om en enskilds personliga förhållanden, om det kan antas att</w:t>
      </w:r>
      <w:r>
        <w:rPr>
          <w:rFonts w:cs="Arial"/>
        </w:rPr>
        <w:t xml:space="preserve"> </w:t>
      </w:r>
      <w:r w:rsidRPr="00077990">
        <w:rPr>
          <w:rFonts w:cs="Arial"/>
        </w:rPr>
        <w:t>den enskilde eller någon närstående till denne lider men om uppgiften röjs. För uppgift i en allmän handling gäller</w:t>
      </w:r>
      <w:r>
        <w:rPr>
          <w:rFonts w:cs="Arial"/>
        </w:rPr>
        <w:t xml:space="preserve"> </w:t>
      </w:r>
      <w:r w:rsidRPr="00077990">
        <w:rPr>
          <w:rFonts w:cs="Arial"/>
        </w:rPr>
        <w:t>sekretessen i högst sjuttio år.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  <w:r w:rsidRPr="00077990">
        <w:rPr>
          <w:rFonts w:cs="Arial"/>
          <w:b/>
          <w:bCs/>
        </w:rPr>
        <w:t>Tillsynsverksamhet m.m.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  <w:b/>
          <w:bCs/>
        </w:rPr>
        <w:t xml:space="preserve">7 § </w:t>
      </w:r>
      <w:r w:rsidRPr="00077990">
        <w:rPr>
          <w:rFonts w:cs="Arial"/>
        </w:rPr>
        <w:t>Sekretess gäller hos Skolväsendets överklagandenämnd i ärenden som uppkommit där till följd av överklagande</w:t>
      </w:r>
      <w:r>
        <w:rPr>
          <w:rFonts w:cs="Arial"/>
        </w:rPr>
        <w:t xml:space="preserve"> </w:t>
      </w:r>
      <w:r w:rsidRPr="00077990">
        <w:rPr>
          <w:rFonts w:cs="Arial"/>
        </w:rPr>
        <w:t>av beslut samt i tillsynsverksamhet hos Statens skolinspektion och Myndigheten för yrkeshögskolan för uppgift om en</w:t>
      </w:r>
      <w:r>
        <w:rPr>
          <w:rFonts w:cs="Arial"/>
        </w:rPr>
        <w:t xml:space="preserve"> </w:t>
      </w:r>
      <w:r w:rsidRPr="00077990">
        <w:rPr>
          <w:rFonts w:cs="Arial"/>
        </w:rPr>
        <w:t>enskilds personliga förhållanden, om det kan antas att den enskilde eller någon närstående till denne lider men om</w:t>
      </w:r>
      <w:r>
        <w:rPr>
          <w:rFonts w:cs="Arial"/>
        </w:rPr>
        <w:t xml:space="preserve"> </w:t>
      </w:r>
      <w:r w:rsidRPr="00077990">
        <w:rPr>
          <w:rFonts w:cs="Arial"/>
        </w:rPr>
        <w:t>uppgiften röjs. Sekretessen gäller inte beslut i ärende. För uppgift i en allmän handling gäller sekretessen i högst sjuttio</w:t>
      </w:r>
      <w:r>
        <w:rPr>
          <w:rFonts w:cs="Arial"/>
        </w:rPr>
        <w:t xml:space="preserve"> </w:t>
      </w:r>
      <w:r w:rsidRPr="00077990">
        <w:rPr>
          <w:rFonts w:cs="Arial"/>
        </w:rPr>
        <w:t>år. Lag (</w:t>
      </w:r>
      <w:r w:rsidRPr="00077990">
        <w:rPr>
          <w:rFonts w:cs="Arial"/>
          <w:i/>
          <w:iCs/>
        </w:rPr>
        <w:t>2009:676</w:t>
      </w:r>
      <w:r w:rsidRPr="00077990">
        <w:rPr>
          <w:rFonts w:cs="Arial"/>
        </w:rPr>
        <w:t>).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  <w:b/>
          <w:bCs/>
        </w:rPr>
      </w:pPr>
      <w:r w:rsidRPr="00077990">
        <w:rPr>
          <w:rFonts w:cs="Arial"/>
          <w:b/>
          <w:bCs/>
        </w:rPr>
        <w:t>Rätten att meddela och offentliggöra uppgifter</w:t>
      </w:r>
    </w:p>
    <w:p w:rsidR="00077990" w:rsidRPr="00077990" w:rsidRDefault="00077990" w:rsidP="00077990">
      <w:pPr>
        <w:autoSpaceDE w:val="0"/>
        <w:autoSpaceDN w:val="0"/>
        <w:adjustRightInd w:val="0"/>
        <w:rPr>
          <w:rFonts w:cs="Arial"/>
        </w:rPr>
      </w:pPr>
      <w:r w:rsidRPr="00077990">
        <w:rPr>
          <w:rFonts w:cs="Arial"/>
          <w:b/>
          <w:bCs/>
        </w:rPr>
        <w:t xml:space="preserve">8 § </w:t>
      </w:r>
      <w:r w:rsidRPr="00077990">
        <w:rPr>
          <w:rFonts w:cs="Arial"/>
        </w:rPr>
        <w:t xml:space="preserve">Den tystnadsplikt som följer av 1 § inskränker rätten enligt 1 kap. 1 § </w:t>
      </w:r>
      <w:r w:rsidRPr="00077990">
        <w:rPr>
          <w:rFonts w:cs="Arial"/>
          <w:i/>
          <w:iCs/>
        </w:rPr>
        <w:t xml:space="preserve">tryckfrihetsförordningen </w:t>
      </w:r>
      <w:r w:rsidRPr="00077990">
        <w:rPr>
          <w:rFonts w:cs="Arial"/>
        </w:rPr>
        <w:t>och 1 kap. 1 och 2 §§</w:t>
      </w:r>
      <w:r>
        <w:rPr>
          <w:rFonts w:cs="Arial"/>
        </w:rPr>
        <w:t xml:space="preserve"> n</w:t>
      </w:r>
      <w:r w:rsidRPr="00077990">
        <w:rPr>
          <w:rFonts w:cs="Arial"/>
          <w:i/>
          <w:iCs/>
        </w:rPr>
        <w:t xml:space="preserve">yttrandefrihetsgrundlagen </w:t>
      </w:r>
      <w:r w:rsidRPr="00077990">
        <w:rPr>
          <w:rFonts w:cs="Arial"/>
        </w:rPr>
        <w:t>att meddela och offentliggöra uppgifter.</w:t>
      </w:r>
      <w:r>
        <w:rPr>
          <w:rFonts w:cs="Arial"/>
        </w:rPr>
        <w:t xml:space="preserve"> </w:t>
      </w:r>
      <w:r w:rsidRPr="00077990">
        <w:rPr>
          <w:rFonts w:cs="Arial"/>
        </w:rPr>
        <w:t>Den tystnadsplikt som följer av 2-5 §§ inskränker rätten att meddela och offentliggöra uppgifter, när det är fråga om</w:t>
      </w:r>
      <w:r>
        <w:rPr>
          <w:rFonts w:cs="Arial"/>
        </w:rPr>
        <w:t xml:space="preserve"> </w:t>
      </w:r>
      <w:r w:rsidRPr="00077990">
        <w:rPr>
          <w:rFonts w:cs="Arial"/>
        </w:rPr>
        <w:t>uppgift som hänför sig till annat än ärende om tillrättaförande av elev eller skiljande av elev från vidare studier.</w:t>
      </w:r>
    </w:p>
    <w:p w:rsidR="00077990" w:rsidRDefault="00077990" w:rsidP="000A7362">
      <w:pPr>
        <w:pStyle w:val="Normal12"/>
      </w:pPr>
    </w:p>
    <w:p w:rsidR="0034628A" w:rsidRDefault="0034628A" w:rsidP="000A7362">
      <w:pPr>
        <w:pStyle w:val="Normal12"/>
      </w:pPr>
    </w:p>
    <w:p w:rsidR="0034628A" w:rsidRDefault="0034628A" w:rsidP="000A7362">
      <w:pPr>
        <w:pStyle w:val="Normal12"/>
      </w:pPr>
    </w:p>
    <w:p w:rsidR="0034628A" w:rsidRDefault="0034628A" w:rsidP="000A7362">
      <w:pPr>
        <w:pStyle w:val="Normal12"/>
      </w:pPr>
    </w:p>
    <w:sectPr w:rsidR="0034628A" w:rsidSect="00EB4E78">
      <w:footerReference w:type="default" r:id="rId8"/>
      <w:pgSz w:w="11907" w:h="16840" w:code="267"/>
      <w:pgMar w:top="662" w:right="1418" w:bottom="1418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45" w:rsidRDefault="00B54245">
      <w:r>
        <w:separator/>
      </w:r>
    </w:p>
  </w:endnote>
  <w:endnote w:type="continuationSeparator" w:id="0">
    <w:p w:rsidR="00B54245" w:rsidRDefault="00B5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66" w:rsidRPr="00222A82" w:rsidRDefault="00455766" w:rsidP="00222A82">
    <w:pPr>
      <w:pStyle w:val="Sidfot"/>
      <w:pBdr>
        <w:top w:val="single" w:sz="4" w:space="1" w:color="auto"/>
      </w:pBdr>
      <w:tabs>
        <w:tab w:val="left" w:pos="2268"/>
        <w:tab w:val="left" w:pos="4536"/>
        <w:tab w:val="left" w:pos="6804"/>
      </w:tabs>
      <w:rPr>
        <w:sz w:val="18"/>
        <w:szCs w:val="18"/>
      </w:rPr>
    </w:pPr>
    <w:r w:rsidRPr="00222A82">
      <w:rPr>
        <w:sz w:val="18"/>
        <w:szCs w:val="18"/>
      </w:rPr>
      <w:t>Postadress</w:t>
    </w:r>
    <w:r w:rsidRPr="00222A82">
      <w:rPr>
        <w:sz w:val="18"/>
        <w:szCs w:val="18"/>
      </w:rPr>
      <w:tab/>
      <w:t>Besöksadress</w:t>
    </w:r>
    <w:r w:rsidRPr="00222A82">
      <w:rPr>
        <w:sz w:val="18"/>
        <w:szCs w:val="18"/>
      </w:rPr>
      <w:tab/>
      <w:t>Telefon/Fax</w:t>
    </w:r>
    <w:r w:rsidRPr="00222A82">
      <w:rPr>
        <w:sz w:val="18"/>
        <w:szCs w:val="18"/>
      </w:rPr>
      <w:tab/>
      <w:t>E-post/Hemsida</w:t>
    </w:r>
  </w:p>
  <w:p w:rsidR="00455766" w:rsidRPr="00222A82" w:rsidRDefault="00455766" w:rsidP="00222A82">
    <w:pPr>
      <w:pStyle w:val="Sidfot"/>
      <w:tabs>
        <w:tab w:val="left" w:pos="2268"/>
        <w:tab w:val="left" w:pos="4536"/>
        <w:tab w:val="left" w:pos="6804"/>
      </w:tabs>
      <w:rPr>
        <w:sz w:val="18"/>
        <w:szCs w:val="18"/>
      </w:rPr>
    </w:pPr>
    <w:r w:rsidRPr="00222A82">
      <w:rPr>
        <w:sz w:val="18"/>
        <w:szCs w:val="18"/>
      </w:rPr>
      <w:t>Haparanda stad</w:t>
    </w:r>
    <w:r w:rsidRPr="00222A82">
      <w:rPr>
        <w:sz w:val="18"/>
        <w:szCs w:val="18"/>
      </w:rPr>
      <w:tab/>
      <w:t>Torget 9</w:t>
    </w:r>
    <w:r w:rsidRPr="00222A82">
      <w:rPr>
        <w:sz w:val="18"/>
        <w:szCs w:val="18"/>
      </w:rPr>
      <w:tab/>
      <w:t>0922-150 00</w:t>
    </w:r>
    <w:r w:rsidRPr="00222A82">
      <w:rPr>
        <w:sz w:val="18"/>
        <w:szCs w:val="18"/>
      </w:rPr>
      <w:tab/>
      <w:t>kommun@haparanda.se</w:t>
    </w:r>
  </w:p>
  <w:p w:rsidR="00455766" w:rsidRPr="00222A82" w:rsidRDefault="00455766" w:rsidP="00222A82">
    <w:pPr>
      <w:pStyle w:val="Sidfot"/>
      <w:tabs>
        <w:tab w:val="left" w:pos="2268"/>
        <w:tab w:val="left" w:pos="4536"/>
        <w:tab w:val="left" w:pos="6804"/>
      </w:tabs>
      <w:rPr>
        <w:sz w:val="18"/>
        <w:szCs w:val="18"/>
      </w:rPr>
    </w:pPr>
    <w:r w:rsidRPr="00222A82">
      <w:rPr>
        <w:sz w:val="18"/>
        <w:szCs w:val="18"/>
      </w:rPr>
      <w:t>953 85 Haparanda</w:t>
    </w:r>
    <w:r w:rsidRPr="00222A82">
      <w:rPr>
        <w:sz w:val="18"/>
        <w:szCs w:val="18"/>
      </w:rPr>
      <w:tab/>
      <w:t>Haparanda</w:t>
    </w:r>
    <w:r w:rsidRPr="00222A82">
      <w:rPr>
        <w:sz w:val="18"/>
        <w:szCs w:val="18"/>
      </w:rPr>
      <w:tab/>
      <w:t>0922-150 01</w:t>
    </w:r>
    <w:r w:rsidRPr="00222A82">
      <w:rPr>
        <w:sz w:val="18"/>
        <w:szCs w:val="18"/>
      </w:rPr>
      <w:tab/>
      <w:t>www.haparanda.se</w:t>
    </w:r>
  </w:p>
  <w:p w:rsidR="00455766" w:rsidRPr="00222A82" w:rsidRDefault="00455766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45" w:rsidRDefault="00B54245">
      <w:r>
        <w:separator/>
      </w:r>
    </w:p>
  </w:footnote>
  <w:footnote w:type="continuationSeparator" w:id="0">
    <w:p w:rsidR="00B54245" w:rsidRDefault="00B54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245"/>
    <w:rsid w:val="00077990"/>
    <w:rsid w:val="000A7362"/>
    <w:rsid w:val="000C205C"/>
    <w:rsid w:val="00153E54"/>
    <w:rsid w:val="00165185"/>
    <w:rsid w:val="0019764F"/>
    <w:rsid w:val="001F5C52"/>
    <w:rsid w:val="00222A82"/>
    <w:rsid w:val="002B29E7"/>
    <w:rsid w:val="0034628A"/>
    <w:rsid w:val="00396B6C"/>
    <w:rsid w:val="003E612A"/>
    <w:rsid w:val="00455766"/>
    <w:rsid w:val="006D36A5"/>
    <w:rsid w:val="0071229E"/>
    <w:rsid w:val="007463F3"/>
    <w:rsid w:val="007B02C8"/>
    <w:rsid w:val="007F0101"/>
    <w:rsid w:val="00863E57"/>
    <w:rsid w:val="00886375"/>
    <w:rsid w:val="008C3CF5"/>
    <w:rsid w:val="00965068"/>
    <w:rsid w:val="00A141D2"/>
    <w:rsid w:val="00B54245"/>
    <w:rsid w:val="00C359B6"/>
    <w:rsid w:val="00EB4E78"/>
    <w:rsid w:val="00EF036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068"/>
    <w:rPr>
      <w:rFonts w:ascii="Arial" w:hAnsi="Arial"/>
      <w:sz w:val="22"/>
      <w:szCs w:val="22"/>
    </w:rPr>
  </w:style>
  <w:style w:type="paragraph" w:styleId="Rubrik3">
    <w:name w:val="heading 3"/>
    <w:basedOn w:val="Normal"/>
    <w:next w:val="Normal"/>
    <w:qFormat/>
    <w:rsid w:val="0034628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autoRedefine/>
    <w:unhideWhenUsed/>
    <w:qFormat/>
    <w:rsid w:val="0019764F"/>
    <w:pPr>
      <w:tabs>
        <w:tab w:val="left" w:pos="4536"/>
        <w:tab w:val="right" w:pos="9072"/>
      </w:tabs>
    </w:pPr>
    <w:rPr>
      <w:color w:val="000000"/>
      <w:sz w:val="18"/>
    </w:rPr>
  </w:style>
  <w:style w:type="character" w:customStyle="1" w:styleId="SidhuvudChar">
    <w:name w:val="Sidhuvud Char"/>
    <w:basedOn w:val="Standardstycketeckensnitt"/>
    <w:link w:val="Sidhuvud"/>
    <w:rsid w:val="0019764F"/>
    <w:rPr>
      <w:rFonts w:ascii="Arial" w:hAnsi="Arial"/>
      <w:color w:val="000000"/>
      <w:sz w:val="18"/>
      <w:szCs w:val="22"/>
      <w:lang w:val="sv-SE" w:eastAsia="sv-SE" w:bidi="ar-SA"/>
    </w:rPr>
  </w:style>
  <w:style w:type="character" w:styleId="Platshllartext">
    <w:name w:val="Placeholder Text"/>
    <w:basedOn w:val="Standardstycketeckensnitt"/>
    <w:semiHidden/>
    <w:rsid w:val="00965068"/>
    <w:rPr>
      <w:color w:val="808080"/>
    </w:rPr>
  </w:style>
  <w:style w:type="character" w:customStyle="1" w:styleId="Frvaltning">
    <w:name w:val="Förvaltning"/>
    <w:basedOn w:val="Standardstycketeckensnitt"/>
    <w:qFormat/>
    <w:rsid w:val="00965068"/>
    <w:rPr>
      <w:rFonts w:ascii="Arial" w:hAnsi="Arial"/>
      <w:b/>
      <w:sz w:val="22"/>
    </w:rPr>
  </w:style>
  <w:style w:type="character" w:customStyle="1" w:styleId="Standard9">
    <w:name w:val="Standard9"/>
    <w:basedOn w:val="Standardstycketeckensnitt"/>
    <w:qFormat/>
    <w:rsid w:val="00965068"/>
    <w:rPr>
      <w:rFonts w:ascii="Arial" w:hAnsi="Arial"/>
      <w:sz w:val="18"/>
    </w:rPr>
  </w:style>
  <w:style w:type="paragraph" w:styleId="Sidfot">
    <w:name w:val="footer"/>
    <w:basedOn w:val="Normal"/>
    <w:link w:val="SidfotChar"/>
    <w:rsid w:val="00222A8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222A82"/>
    <w:rPr>
      <w:rFonts w:ascii="Arial" w:hAnsi="Arial"/>
      <w:sz w:val="22"/>
      <w:szCs w:val="22"/>
      <w:lang w:val="sv-SE" w:eastAsia="sv-SE" w:bidi="ar-SA"/>
    </w:rPr>
  </w:style>
  <w:style w:type="paragraph" w:customStyle="1" w:styleId="Normal12">
    <w:name w:val="Normal 12"/>
    <w:basedOn w:val="Normal"/>
    <w:rsid w:val="000A7362"/>
    <w:pPr>
      <w:tabs>
        <w:tab w:val="left" w:pos="4500"/>
      </w:tabs>
    </w:pPr>
    <w:rPr>
      <w:sz w:val="24"/>
    </w:rPr>
  </w:style>
  <w:style w:type="paragraph" w:customStyle="1" w:styleId="Dokumentrubrik">
    <w:name w:val="Dokumentrubrik"/>
    <w:basedOn w:val="Normal"/>
    <w:rsid w:val="00EB4E78"/>
    <w:pPr>
      <w:tabs>
        <w:tab w:val="left" w:pos="4500"/>
      </w:tabs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jaluk\Desktop\Haparanda%20tj&#228;nsteskrivelse%20ver0,5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Haparanda tjänsteskrivelse ver0,5</Template>
  <TotalTime>1</TotalTime>
  <Pages>2</Pages>
  <Words>811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Förvaltning</vt:lpstr>
    </vt:vector>
  </TitlesOfParts>
  <Company>Haparanda Stad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</dc:title>
  <dc:creator>Nadja Lukin</dc:creator>
  <cp:lastModifiedBy>Hanna Mustajärvi</cp:lastModifiedBy>
  <cp:revision>2</cp:revision>
  <dcterms:created xsi:type="dcterms:W3CDTF">2013-04-10T08:29:00Z</dcterms:created>
  <dcterms:modified xsi:type="dcterms:W3CDTF">2013-04-10T08:29:00Z</dcterms:modified>
</cp:coreProperties>
</file>